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DA28B2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DA28B2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DA28B2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7D23F5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</w:t>
      </w:r>
      <w:r w:rsidR="00DA2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3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DA28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ТЕХНОЛОГИЯ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Default="00FE30C6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Выполнение </w:t>
            </w:r>
            <w:r w:rsidR="007D23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тестовых заданий</w:t>
            </w:r>
          </w:p>
          <w:p w:rsidR="007D23F5" w:rsidRDefault="007D23F5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  <w:p w:rsidR="007D23F5" w:rsidRPr="007E694C" w:rsidRDefault="007D23F5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Практическая часть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D23F5" w:rsidRPr="007E694C" w:rsidRDefault="00747539" w:rsidP="007D23F5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7D23F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</w:t>
            </w:r>
          </w:p>
          <w:p w:rsidR="007D23F5" w:rsidRPr="007E694C" w:rsidRDefault="007D23F5" w:rsidP="007D23F5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№308 (Д), 107 (М)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DA28B2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7D23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DA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5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DA28B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B56D2F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B56D2F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D23F5" w:rsidP="00DA28B2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DA28B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7D23F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D23F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23F5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6D2F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A28B2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2018-11-06T07:35:00Z</dcterms:created>
  <dcterms:modified xsi:type="dcterms:W3CDTF">2019-11-11T14:16:00Z</dcterms:modified>
</cp:coreProperties>
</file>